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12E" w:rsidRPr="001C3F5C" w:rsidRDefault="001D012E" w:rsidP="00715066">
      <w:pPr>
        <w:contextualSpacing/>
        <w:jc w:val="center"/>
        <w:rPr>
          <w:b/>
          <w:color w:val="0079C1"/>
          <w:sz w:val="32"/>
        </w:rPr>
      </w:pPr>
      <w:r w:rsidRPr="001C3F5C">
        <w:rPr>
          <w:b/>
          <w:color w:val="0079C1"/>
          <w:sz w:val="32"/>
        </w:rPr>
        <w:t>Institutional Information and Disclosures</w:t>
      </w:r>
    </w:p>
    <w:p w:rsidR="001D012E" w:rsidRPr="001D012E" w:rsidRDefault="001D012E" w:rsidP="00715066">
      <w:pPr>
        <w:contextualSpacing/>
        <w:jc w:val="center"/>
        <w:rPr>
          <w:b/>
          <w:color w:val="0079C1"/>
          <w:sz w:val="24"/>
        </w:rPr>
      </w:pPr>
    </w:p>
    <w:p w:rsidR="00715066" w:rsidRDefault="001D012E" w:rsidP="00715066">
      <w:pPr>
        <w:contextualSpacing/>
        <w:rPr>
          <w:b/>
          <w:color w:val="0079C1"/>
        </w:rPr>
      </w:pPr>
      <w:r w:rsidRPr="001D012E">
        <w:rPr>
          <w:b/>
          <w:color w:val="0079C1"/>
        </w:rPr>
        <w:t>Mission</w:t>
      </w:r>
    </w:p>
    <w:p w:rsidR="001D012E" w:rsidRPr="00715066" w:rsidRDefault="001D012E" w:rsidP="00715066">
      <w:pPr>
        <w:contextualSpacing/>
        <w:rPr>
          <w:b/>
          <w:color w:val="0079C1"/>
        </w:rPr>
      </w:pPr>
      <w:r>
        <w:t>Rhodes State College changes lives, builds futures and improves communities through life-long learning.</w:t>
      </w:r>
    </w:p>
    <w:p w:rsidR="00715066" w:rsidRDefault="00715066" w:rsidP="00715066">
      <w:pPr>
        <w:contextualSpacing/>
        <w:rPr>
          <w:b/>
          <w:color w:val="0079C1"/>
        </w:rPr>
      </w:pPr>
    </w:p>
    <w:p w:rsidR="00715066" w:rsidRDefault="001D012E" w:rsidP="00715066">
      <w:pPr>
        <w:contextualSpacing/>
        <w:rPr>
          <w:b/>
          <w:color w:val="0079C1"/>
        </w:rPr>
      </w:pPr>
      <w:r w:rsidRPr="001D012E">
        <w:rPr>
          <w:b/>
          <w:color w:val="0079C1"/>
        </w:rPr>
        <w:t>Visio</w:t>
      </w:r>
      <w:r w:rsidR="00715066">
        <w:rPr>
          <w:b/>
          <w:color w:val="0079C1"/>
        </w:rPr>
        <w:t>n</w:t>
      </w:r>
    </w:p>
    <w:p w:rsidR="001D012E" w:rsidRPr="00715066" w:rsidRDefault="001D012E" w:rsidP="00715066">
      <w:pPr>
        <w:contextualSpacing/>
        <w:rPr>
          <w:b/>
          <w:color w:val="0079C1"/>
        </w:rPr>
      </w:pPr>
      <w:r>
        <w:t>Rhodes State College aspires to be the College of choice where students have an equitable opportunity to achieve their career and educational goals. Our people will be the source of innovation and reason for the enriched value added to our students, communities, and partners.</w:t>
      </w:r>
    </w:p>
    <w:p w:rsidR="001D012E" w:rsidRDefault="001D012E" w:rsidP="00715066">
      <w:pPr>
        <w:contextualSpacing/>
      </w:pPr>
    </w:p>
    <w:tbl>
      <w:tblPr>
        <w:tblStyle w:val="TableGrid"/>
        <w:tblW w:w="9963" w:type="dxa"/>
        <w:tblLook w:val="04A0" w:firstRow="1" w:lastRow="0" w:firstColumn="1" w:lastColumn="0" w:noHBand="0" w:noVBand="1"/>
      </w:tblPr>
      <w:tblGrid>
        <w:gridCol w:w="6313"/>
        <w:gridCol w:w="730"/>
        <w:gridCol w:w="730"/>
        <w:gridCol w:w="730"/>
        <w:gridCol w:w="730"/>
        <w:gridCol w:w="730"/>
      </w:tblGrid>
      <w:tr w:rsidR="00715066" w:rsidTr="00FA0DB8">
        <w:tc>
          <w:tcPr>
            <w:tcW w:w="6313" w:type="dxa"/>
            <w:shd w:val="clear" w:color="auto" w:fill="0079C1"/>
          </w:tcPr>
          <w:p w:rsidR="00715066" w:rsidRDefault="00715066" w:rsidP="00715066">
            <w:pPr>
              <w:contextualSpacing/>
              <w:jc w:val="center"/>
              <w:rPr>
                <w:b/>
                <w:color w:val="FFFFFF" w:themeColor="background1"/>
              </w:rPr>
            </w:pPr>
          </w:p>
          <w:p w:rsidR="00715066" w:rsidRPr="00715066" w:rsidRDefault="00715066" w:rsidP="00FA0DB8">
            <w:pPr>
              <w:contextualSpacing/>
              <w:rPr>
                <w:b/>
                <w:color w:val="FFFFFF" w:themeColor="background1"/>
              </w:rPr>
            </w:pPr>
            <w:r w:rsidRPr="00715066">
              <w:rPr>
                <w:b/>
                <w:color w:val="FFFFFF" w:themeColor="background1"/>
              </w:rPr>
              <w:t>Retention and Graduation Rates (Degree/Certificate Seeking)</w:t>
            </w:r>
          </w:p>
        </w:tc>
        <w:tc>
          <w:tcPr>
            <w:tcW w:w="730" w:type="dxa"/>
            <w:shd w:val="clear" w:color="auto" w:fill="0079C1"/>
          </w:tcPr>
          <w:p w:rsidR="00715066" w:rsidRDefault="00715066" w:rsidP="00715066">
            <w:pPr>
              <w:contextualSpacing/>
              <w:rPr>
                <w:b/>
                <w:color w:val="FFFFFF" w:themeColor="background1"/>
              </w:rPr>
            </w:pPr>
          </w:p>
          <w:p w:rsidR="00715066" w:rsidRPr="00715066" w:rsidRDefault="00715066" w:rsidP="00715066">
            <w:pPr>
              <w:contextualSpacing/>
              <w:rPr>
                <w:b/>
                <w:color w:val="FFFFFF" w:themeColor="background1"/>
              </w:rPr>
            </w:pPr>
            <w:r w:rsidRPr="00715066">
              <w:rPr>
                <w:b/>
                <w:color w:val="FFFFFF" w:themeColor="background1"/>
              </w:rPr>
              <w:t>201</w:t>
            </w:r>
            <w:r w:rsidR="00B13126">
              <w:rPr>
                <w:b/>
                <w:color w:val="FFFFFF" w:themeColor="background1"/>
              </w:rPr>
              <w:t>9</w:t>
            </w:r>
            <w:r w:rsidRPr="00715066">
              <w:rPr>
                <w:b/>
                <w:color w:val="FFFFFF" w:themeColor="background1"/>
              </w:rPr>
              <w:t>-</w:t>
            </w:r>
            <w:r w:rsidR="00B13126">
              <w:rPr>
                <w:b/>
                <w:color w:val="FFFFFF" w:themeColor="background1"/>
              </w:rPr>
              <w:t>20</w:t>
            </w:r>
          </w:p>
        </w:tc>
        <w:tc>
          <w:tcPr>
            <w:tcW w:w="730" w:type="dxa"/>
            <w:shd w:val="clear" w:color="auto" w:fill="0079C1"/>
          </w:tcPr>
          <w:p w:rsidR="00715066" w:rsidRPr="00715066" w:rsidRDefault="00715066" w:rsidP="00715066">
            <w:pPr>
              <w:contextualSpacing/>
              <w:jc w:val="center"/>
              <w:rPr>
                <w:b/>
                <w:color w:val="FFFFFF" w:themeColor="background1"/>
              </w:rPr>
            </w:pPr>
          </w:p>
          <w:p w:rsidR="00715066" w:rsidRPr="00715066" w:rsidRDefault="00715066" w:rsidP="00715066">
            <w:pPr>
              <w:contextualSpacing/>
              <w:rPr>
                <w:b/>
                <w:color w:val="FFFFFF" w:themeColor="background1"/>
              </w:rPr>
            </w:pPr>
            <w:r w:rsidRPr="00715066">
              <w:rPr>
                <w:b/>
                <w:color w:val="FFFFFF" w:themeColor="background1"/>
              </w:rPr>
              <w:t>20</w:t>
            </w:r>
            <w:r w:rsidR="00B13126">
              <w:rPr>
                <w:b/>
                <w:color w:val="FFFFFF" w:themeColor="background1"/>
              </w:rPr>
              <w:t>20</w:t>
            </w:r>
            <w:r w:rsidRPr="00715066">
              <w:rPr>
                <w:b/>
                <w:color w:val="FFFFFF" w:themeColor="background1"/>
              </w:rPr>
              <w:t>-2</w:t>
            </w:r>
            <w:r w:rsidR="00B13126">
              <w:rPr>
                <w:b/>
                <w:color w:val="FFFFFF" w:themeColor="background1"/>
              </w:rPr>
              <w:t>1</w:t>
            </w:r>
          </w:p>
        </w:tc>
        <w:tc>
          <w:tcPr>
            <w:tcW w:w="730" w:type="dxa"/>
            <w:shd w:val="clear" w:color="auto" w:fill="0079C1"/>
          </w:tcPr>
          <w:p w:rsidR="00715066" w:rsidRPr="00715066" w:rsidRDefault="00715066" w:rsidP="00715066">
            <w:pPr>
              <w:contextualSpacing/>
              <w:jc w:val="center"/>
              <w:rPr>
                <w:b/>
                <w:color w:val="FFFFFF" w:themeColor="background1"/>
              </w:rPr>
            </w:pPr>
          </w:p>
          <w:p w:rsidR="00715066" w:rsidRPr="00715066" w:rsidRDefault="00715066" w:rsidP="00715066">
            <w:pPr>
              <w:contextualSpacing/>
              <w:rPr>
                <w:b/>
                <w:color w:val="FFFFFF" w:themeColor="background1"/>
              </w:rPr>
            </w:pPr>
            <w:r w:rsidRPr="00715066">
              <w:rPr>
                <w:b/>
                <w:color w:val="FFFFFF" w:themeColor="background1"/>
              </w:rPr>
              <w:t>202</w:t>
            </w:r>
            <w:r w:rsidR="00B13126">
              <w:rPr>
                <w:b/>
                <w:color w:val="FFFFFF" w:themeColor="background1"/>
              </w:rPr>
              <w:t>1</w:t>
            </w:r>
            <w:r w:rsidRPr="00715066">
              <w:rPr>
                <w:b/>
                <w:color w:val="FFFFFF" w:themeColor="background1"/>
              </w:rPr>
              <w:t>-2</w:t>
            </w:r>
            <w:r w:rsidR="00B13126">
              <w:rPr>
                <w:b/>
                <w:color w:val="FFFFFF" w:themeColor="background1"/>
              </w:rPr>
              <w:t>2</w:t>
            </w:r>
          </w:p>
        </w:tc>
        <w:tc>
          <w:tcPr>
            <w:tcW w:w="730" w:type="dxa"/>
            <w:shd w:val="clear" w:color="auto" w:fill="0079C1"/>
          </w:tcPr>
          <w:p w:rsidR="00715066" w:rsidRPr="00715066" w:rsidRDefault="00715066" w:rsidP="00715066">
            <w:pPr>
              <w:contextualSpacing/>
              <w:jc w:val="center"/>
              <w:rPr>
                <w:b/>
                <w:color w:val="FFFFFF" w:themeColor="background1"/>
              </w:rPr>
            </w:pPr>
          </w:p>
          <w:p w:rsidR="00715066" w:rsidRPr="00715066" w:rsidRDefault="00715066" w:rsidP="00715066">
            <w:pPr>
              <w:contextualSpacing/>
              <w:rPr>
                <w:b/>
                <w:color w:val="FFFFFF" w:themeColor="background1"/>
              </w:rPr>
            </w:pPr>
            <w:r w:rsidRPr="00715066">
              <w:rPr>
                <w:b/>
                <w:color w:val="FFFFFF" w:themeColor="background1"/>
              </w:rPr>
              <w:t>202</w:t>
            </w:r>
            <w:r w:rsidR="00B13126">
              <w:rPr>
                <w:b/>
                <w:color w:val="FFFFFF" w:themeColor="background1"/>
              </w:rPr>
              <w:t>2</w:t>
            </w:r>
            <w:r w:rsidRPr="00715066">
              <w:rPr>
                <w:b/>
                <w:color w:val="FFFFFF" w:themeColor="background1"/>
              </w:rPr>
              <w:t>-2</w:t>
            </w:r>
            <w:r w:rsidR="00B13126">
              <w:rPr>
                <w:b/>
                <w:color w:val="FFFFFF" w:themeColor="background1"/>
              </w:rPr>
              <w:t>3</w:t>
            </w:r>
          </w:p>
        </w:tc>
        <w:tc>
          <w:tcPr>
            <w:tcW w:w="730" w:type="dxa"/>
            <w:shd w:val="clear" w:color="auto" w:fill="0079C1"/>
          </w:tcPr>
          <w:p w:rsidR="00715066" w:rsidRDefault="00715066" w:rsidP="00715066">
            <w:pPr>
              <w:contextualSpacing/>
              <w:rPr>
                <w:b/>
                <w:color w:val="FFFFFF" w:themeColor="background1"/>
              </w:rPr>
            </w:pPr>
          </w:p>
          <w:p w:rsidR="00715066" w:rsidRPr="00715066" w:rsidRDefault="00715066" w:rsidP="00715066">
            <w:pPr>
              <w:contextualSpacing/>
              <w:rPr>
                <w:b/>
                <w:color w:val="FFFFFF" w:themeColor="background1"/>
              </w:rPr>
            </w:pPr>
            <w:r w:rsidRPr="00715066">
              <w:rPr>
                <w:b/>
                <w:color w:val="FFFFFF" w:themeColor="background1"/>
              </w:rPr>
              <w:t>202</w:t>
            </w:r>
            <w:r w:rsidR="00B13126">
              <w:rPr>
                <w:b/>
                <w:color w:val="FFFFFF" w:themeColor="background1"/>
              </w:rPr>
              <w:t>3</w:t>
            </w:r>
            <w:r w:rsidRPr="00715066">
              <w:rPr>
                <w:b/>
                <w:color w:val="FFFFFF" w:themeColor="background1"/>
              </w:rPr>
              <w:t>-2</w:t>
            </w:r>
            <w:r w:rsidR="00B13126">
              <w:rPr>
                <w:b/>
                <w:color w:val="FFFFFF" w:themeColor="background1"/>
              </w:rPr>
              <w:t>4</w:t>
            </w:r>
          </w:p>
        </w:tc>
      </w:tr>
      <w:tr w:rsidR="00715066" w:rsidTr="00FA0DB8">
        <w:tc>
          <w:tcPr>
            <w:tcW w:w="6313" w:type="dxa"/>
          </w:tcPr>
          <w:p w:rsidR="00715066" w:rsidRDefault="00715066" w:rsidP="00715066">
            <w:pPr>
              <w:contextualSpacing/>
            </w:pPr>
            <w:r>
              <w:t>First-time, full-time student retention rate</w:t>
            </w:r>
          </w:p>
        </w:tc>
        <w:tc>
          <w:tcPr>
            <w:tcW w:w="730" w:type="dxa"/>
          </w:tcPr>
          <w:p w:rsidR="00646D65" w:rsidRDefault="00B13126" w:rsidP="00715066">
            <w:pPr>
              <w:contextualSpacing/>
            </w:pPr>
            <w:r>
              <w:t>65</w:t>
            </w:r>
            <w:r w:rsidR="00646D65">
              <w:t>%</w:t>
            </w:r>
          </w:p>
        </w:tc>
        <w:tc>
          <w:tcPr>
            <w:tcW w:w="730" w:type="dxa"/>
          </w:tcPr>
          <w:p w:rsidR="00715066" w:rsidRDefault="00646D65" w:rsidP="00715066">
            <w:pPr>
              <w:contextualSpacing/>
            </w:pPr>
            <w:r>
              <w:t>6</w:t>
            </w:r>
            <w:r w:rsidR="00B13126">
              <w:t>4</w:t>
            </w:r>
            <w:r>
              <w:t>%</w:t>
            </w:r>
          </w:p>
        </w:tc>
        <w:tc>
          <w:tcPr>
            <w:tcW w:w="730" w:type="dxa"/>
          </w:tcPr>
          <w:p w:rsidR="00715066" w:rsidRDefault="00646D65" w:rsidP="00715066">
            <w:pPr>
              <w:contextualSpacing/>
            </w:pPr>
            <w:r>
              <w:t>6</w:t>
            </w:r>
            <w:r w:rsidR="00B13126">
              <w:t>5</w:t>
            </w:r>
            <w:r>
              <w:t>%</w:t>
            </w:r>
          </w:p>
        </w:tc>
        <w:tc>
          <w:tcPr>
            <w:tcW w:w="730" w:type="dxa"/>
          </w:tcPr>
          <w:p w:rsidR="00715066" w:rsidRDefault="00646D65" w:rsidP="00715066">
            <w:pPr>
              <w:contextualSpacing/>
            </w:pPr>
            <w:r>
              <w:t>6</w:t>
            </w:r>
            <w:r w:rsidR="00B13126">
              <w:t>9</w:t>
            </w:r>
            <w:r>
              <w:t>%</w:t>
            </w:r>
          </w:p>
        </w:tc>
        <w:tc>
          <w:tcPr>
            <w:tcW w:w="730" w:type="dxa"/>
          </w:tcPr>
          <w:p w:rsidR="00CD7A86" w:rsidRDefault="00CD7A86" w:rsidP="00715066">
            <w:pPr>
              <w:contextualSpacing/>
            </w:pPr>
            <w:r>
              <w:t>71%</w:t>
            </w:r>
          </w:p>
          <w:p w:rsidR="00CD7A86" w:rsidRDefault="00CD7A86" w:rsidP="00715066">
            <w:pPr>
              <w:contextualSpacing/>
            </w:pPr>
          </w:p>
        </w:tc>
      </w:tr>
      <w:tr w:rsidR="00715066" w:rsidTr="00FA0DB8">
        <w:tc>
          <w:tcPr>
            <w:tcW w:w="6313" w:type="dxa"/>
          </w:tcPr>
          <w:p w:rsidR="00715066" w:rsidRDefault="00715066" w:rsidP="00715066">
            <w:pPr>
              <w:contextualSpacing/>
            </w:pPr>
            <w:r>
              <w:t>First-time, part-time</w:t>
            </w:r>
            <w:r w:rsidR="00D770A6">
              <w:t xml:space="preserve"> student</w:t>
            </w:r>
            <w:r>
              <w:t xml:space="preserve"> retention rate</w:t>
            </w:r>
          </w:p>
        </w:tc>
        <w:tc>
          <w:tcPr>
            <w:tcW w:w="730" w:type="dxa"/>
          </w:tcPr>
          <w:p w:rsidR="00715066" w:rsidRDefault="00B13126" w:rsidP="00715066">
            <w:pPr>
              <w:contextualSpacing/>
            </w:pPr>
            <w:r>
              <w:t>46</w:t>
            </w:r>
            <w:r w:rsidR="00646D65">
              <w:t>%</w:t>
            </w:r>
          </w:p>
        </w:tc>
        <w:tc>
          <w:tcPr>
            <w:tcW w:w="730" w:type="dxa"/>
          </w:tcPr>
          <w:p w:rsidR="00715066" w:rsidRDefault="00B13126" w:rsidP="00715066">
            <w:pPr>
              <w:contextualSpacing/>
            </w:pPr>
            <w:r>
              <w:t>44</w:t>
            </w:r>
            <w:r w:rsidR="00646D65">
              <w:t>%</w:t>
            </w:r>
          </w:p>
        </w:tc>
        <w:tc>
          <w:tcPr>
            <w:tcW w:w="730" w:type="dxa"/>
          </w:tcPr>
          <w:p w:rsidR="00715066" w:rsidRDefault="00B13126" w:rsidP="00715066">
            <w:pPr>
              <w:contextualSpacing/>
            </w:pPr>
            <w:r>
              <w:t>44</w:t>
            </w:r>
            <w:r w:rsidR="00646D65">
              <w:t>%</w:t>
            </w:r>
          </w:p>
        </w:tc>
        <w:tc>
          <w:tcPr>
            <w:tcW w:w="730" w:type="dxa"/>
          </w:tcPr>
          <w:p w:rsidR="00715066" w:rsidRDefault="00646D65" w:rsidP="00715066">
            <w:pPr>
              <w:contextualSpacing/>
            </w:pPr>
            <w:r>
              <w:t>4</w:t>
            </w:r>
            <w:r w:rsidR="00B13126">
              <w:t>7</w:t>
            </w:r>
            <w:r>
              <w:t>%</w:t>
            </w:r>
          </w:p>
        </w:tc>
        <w:tc>
          <w:tcPr>
            <w:tcW w:w="730" w:type="dxa"/>
          </w:tcPr>
          <w:p w:rsidR="00715066" w:rsidRDefault="00CD7A86" w:rsidP="00715066">
            <w:pPr>
              <w:contextualSpacing/>
            </w:pPr>
            <w:r>
              <w:t>49%</w:t>
            </w:r>
          </w:p>
        </w:tc>
      </w:tr>
      <w:tr w:rsidR="00715066" w:rsidTr="00FA0DB8">
        <w:tc>
          <w:tcPr>
            <w:tcW w:w="6313" w:type="dxa"/>
          </w:tcPr>
          <w:p w:rsidR="00715066" w:rsidRDefault="00715066" w:rsidP="00715066">
            <w:pPr>
              <w:contextualSpacing/>
            </w:pPr>
            <w:r>
              <w:t xml:space="preserve">Graduation rate [Fall] </w:t>
            </w:r>
            <w:r w:rsidR="00646D65">
              <w:t>*</w:t>
            </w:r>
            <w:r>
              <w:t>cohort as percent of total entering students</w:t>
            </w:r>
          </w:p>
        </w:tc>
        <w:tc>
          <w:tcPr>
            <w:tcW w:w="730" w:type="dxa"/>
          </w:tcPr>
          <w:p w:rsidR="00715066" w:rsidRDefault="00B13126" w:rsidP="00715066">
            <w:pPr>
              <w:contextualSpacing/>
            </w:pPr>
            <w:r>
              <w:t>45</w:t>
            </w:r>
            <w:r w:rsidR="00646D65">
              <w:t>%</w:t>
            </w:r>
          </w:p>
        </w:tc>
        <w:tc>
          <w:tcPr>
            <w:tcW w:w="730" w:type="dxa"/>
          </w:tcPr>
          <w:p w:rsidR="00715066" w:rsidRDefault="00B13126" w:rsidP="00715066">
            <w:pPr>
              <w:contextualSpacing/>
            </w:pPr>
            <w:r>
              <w:t>45</w:t>
            </w:r>
            <w:r w:rsidR="00646D65">
              <w:t>%</w:t>
            </w:r>
          </w:p>
        </w:tc>
        <w:tc>
          <w:tcPr>
            <w:tcW w:w="730" w:type="dxa"/>
          </w:tcPr>
          <w:p w:rsidR="00715066" w:rsidRDefault="00B13126" w:rsidP="00715066">
            <w:pPr>
              <w:contextualSpacing/>
            </w:pPr>
            <w:r>
              <w:t>47</w:t>
            </w:r>
            <w:r w:rsidR="00646D65">
              <w:t>%</w:t>
            </w:r>
          </w:p>
        </w:tc>
        <w:tc>
          <w:tcPr>
            <w:tcW w:w="730" w:type="dxa"/>
          </w:tcPr>
          <w:p w:rsidR="00715066" w:rsidRDefault="00E5772E" w:rsidP="00715066">
            <w:pPr>
              <w:contextualSpacing/>
            </w:pPr>
            <w:r>
              <w:t>27%</w:t>
            </w:r>
          </w:p>
        </w:tc>
        <w:tc>
          <w:tcPr>
            <w:tcW w:w="730" w:type="dxa"/>
          </w:tcPr>
          <w:p w:rsidR="00715066" w:rsidRDefault="00E5772E" w:rsidP="00715066">
            <w:pPr>
              <w:contextualSpacing/>
            </w:pPr>
            <w:r>
              <w:t>33%</w:t>
            </w:r>
          </w:p>
        </w:tc>
      </w:tr>
    </w:tbl>
    <w:p w:rsidR="001D012E" w:rsidRPr="00646D65" w:rsidRDefault="00646D65" w:rsidP="00715066">
      <w:pPr>
        <w:contextualSpacing/>
        <w:rPr>
          <w:i/>
          <w:sz w:val="16"/>
        </w:rPr>
      </w:pPr>
      <w:r w:rsidRPr="00646D65">
        <w:rPr>
          <w:i/>
          <w:sz w:val="16"/>
        </w:rPr>
        <w:t>Source: Integrated Postsecondary Education Data System (IPEDS)</w:t>
      </w:r>
    </w:p>
    <w:p w:rsidR="00E5772E" w:rsidRDefault="00646D65" w:rsidP="00646D65">
      <w:pPr>
        <w:contextualSpacing/>
        <w:rPr>
          <w:i/>
          <w:sz w:val="16"/>
        </w:rPr>
      </w:pPr>
      <w:r w:rsidRPr="00646D65">
        <w:rPr>
          <w:i/>
          <w:sz w:val="16"/>
        </w:rPr>
        <w:t>*Cohort: Full-time, first-time degree/certificate-seeking undergraduate students</w:t>
      </w:r>
    </w:p>
    <w:p w:rsidR="00E5772E" w:rsidRPr="00646D65" w:rsidRDefault="009908F5" w:rsidP="00646D65">
      <w:pPr>
        <w:contextualSpacing/>
        <w:rPr>
          <w:i/>
          <w:sz w:val="16"/>
        </w:rPr>
      </w:pPr>
      <w:r>
        <w:rPr>
          <w:i/>
          <w:sz w:val="16"/>
        </w:rPr>
        <w:t>Retention rate for academic year 202</w:t>
      </w:r>
      <w:r w:rsidR="00CD7A86">
        <w:rPr>
          <w:i/>
          <w:sz w:val="16"/>
        </w:rPr>
        <w:t>3</w:t>
      </w:r>
      <w:r>
        <w:rPr>
          <w:i/>
          <w:sz w:val="16"/>
        </w:rPr>
        <w:t>-2</w:t>
      </w:r>
      <w:r w:rsidR="00CD7A86">
        <w:rPr>
          <w:i/>
          <w:sz w:val="16"/>
        </w:rPr>
        <w:t>4</w:t>
      </w:r>
      <w:r>
        <w:rPr>
          <w:i/>
          <w:sz w:val="16"/>
        </w:rPr>
        <w:t xml:space="preserve"> was calculated using institutional definition of retention</w:t>
      </w:r>
    </w:p>
    <w:p w:rsidR="00646D65" w:rsidRDefault="00646D65" w:rsidP="00715066">
      <w:pPr>
        <w:contextualSpacing/>
      </w:pPr>
    </w:p>
    <w:tbl>
      <w:tblPr>
        <w:tblStyle w:val="TableGrid"/>
        <w:tblW w:w="10075" w:type="dxa"/>
        <w:tblLook w:val="04A0" w:firstRow="1" w:lastRow="0" w:firstColumn="1" w:lastColumn="0" w:noHBand="0" w:noVBand="1"/>
      </w:tblPr>
      <w:tblGrid>
        <w:gridCol w:w="5035"/>
        <w:gridCol w:w="990"/>
        <w:gridCol w:w="990"/>
        <w:gridCol w:w="990"/>
        <w:gridCol w:w="1080"/>
        <w:gridCol w:w="990"/>
      </w:tblGrid>
      <w:tr w:rsidR="00646D65" w:rsidTr="00646D65">
        <w:tc>
          <w:tcPr>
            <w:tcW w:w="5035" w:type="dxa"/>
            <w:shd w:val="clear" w:color="auto" w:fill="0079C1"/>
          </w:tcPr>
          <w:p w:rsidR="00646D65" w:rsidRPr="00646D65" w:rsidRDefault="00646D65" w:rsidP="00715066">
            <w:pPr>
              <w:contextualSpacing/>
              <w:rPr>
                <w:b/>
                <w:color w:val="FFFFFF" w:themeColor="background1"/>
              </w:rPr>
            </w:pPr>
            <w:r w:rsidRPr="00646D65">
              <w:rPr>
                <w:b/>
                <w:color w:val="FFFFFF" w:themeColor="background1"/>
              </w:rPr>
              <w:t>Associate Degree Seeking Persistence and Retention</w:t>
            </w:r>
          </w:p>
        </w:tc>
        <w:tc>
          <w:tcPr>
            <w:tcW w:w="990" w:type="dxa"/>
            <w:shd w:val="clear" w:color="auto" w:fill="0079C1"/>
          </w:tcPr>
          <w:p w:rsidR="00646D65" w:rsidRPr="00646D65" w:rsidRDefault="00646D65" w:rsidP="00715066">
            <w:pPr>
              <w:contextualSpacing/>
              <w:rPr>
                <w:b/>
                <w:color w:val="FFFFFF" w:themeColor="background1"/>
              </w:rPr>
            </w:pPr>
            <w:r w:rsidRPr="00646D65">
              <w:rPr>
                <w:b/>
                <w:color w:val="FFFFFF" w:themeColor="background1"/>
              </w:rPr>
              <w:t>201</w:t>
            </w:r>
            <w:r w:rsidR="00442DD3">
              <w:rPr>
                <w:b/>
                <w:color w:val="FFFFFF" w:themeColor="background1"/>
              </w:rPr>
              <w:t>9</w:t>
            </w:r>
            <w:r w:rsidRPr="00646D65">
              <w:rPr>
                <w:b/>
                <w:color w:val="FFFFFF" w:themeColor="background1"/>
              </w:rPr>
              <w:t>-</w:t>
            </w:r>
            <w:r w:rsidR="00442DD3">
              <w:rPr>
                <w:b/>
                <w:color w:val="FFFFFF" w:themeColor="background1"/>
              </w:rPr>
              <w:t>20</w:t>
            </w:r>
          </w:p>
        </w:tc>
        <w:tc>
          <w:tcPr>
            <w:tcW w:w="990" w:type="dxa"/>
            <w:shd w:val="clear" w:color="auto" w:fill="0079C1"/>
          </w:tcPr>
          <w:p w:rsidR="00646D65" w:rsidRPr="00646D65" w:rsidRDefault="00646D65" w:rsidP="00715066">
            <w:pPr>
              <w:contextualSpacing/>
              <w:rPr>
                <w:b/>
                <w:color w:val="FFFFFF" w:themeColor="background1"/>
              </w:rPr>
            </w:pPr>
            <w:r w:rsidRPr="00646D65">
              <w:rPr>
                <w:b/>
                <w:color w:val="FFFFFF" w:themeColor="background1"/>
              </w:rPr>
              <w:t>20</w:t>
            </w:r>
            <w:r w:rsidR="00442DD3">
              <w:rPr>
                <w:b/>
                <w:color w:val="FFFFFF" w:themeColor="background1"/>
              </w:rPr>
              <w:t>20</w:t>
            </w:r>
            <w:r w:rsidRPr="00646D65">
              <w:rPr>
                <w:b/>
                <w:color w:val="FFFFFF" w:themeColor="background1"/>
              </w:rPr>
              <w:t>-2</w:t>
            </w:r>
            <w:r w:rsidR="00442DD3">
              <w:rPr>
                <w:b/>
                <w:color w:val="FFFFFF" w:themeColor="background1"/>
              </w:rPr>
              <w:t>1</w:t>
            </w:r>
          </w:p>
        </w:tc>
        <w:tc>
          <w:tcPr>
            <w:tcW w:w="990" w:type="dxa"/>
            <w:shd w:val="clear" w:color="auto" w:fill="0079C1"/>
          </w:tcPr>
          <w:p w:rsidR="00646D65" w:rsidRPr="00646D65" w:rsidRDefault="00646D65" w:rsidP="00715066">
            <w:pPr>
              <w:contextualSpacing/>
              <w:rPr>
                <w:b/>
                <w:color w:val="FFFFFF" w:themeColor="background1"/>
              </w:rPr>
            </w:pPr>
            <w:r w:rsidRPr="00646D65">
              <w:rPr>
                <w:b/>
                <w:color w:val="FFFFFF" w:themeColor="background1"/>
              </w:rPr>
              <w:t>202</w:t>
            </w:r>
            <w:r w:rsidR="00442DD3">
              <w:rPr>
                <w:b/>
                <w:color w:val="FFFFFF" w:themeColor="background1"/>
              </w:rPr>
              <w:t>1</w:t>
            </w:r>
            <w:r w:rsidRPr="00646D65">
              <w:rPr>
                <w:b/>
                <w:color w:val="FFFFFF" w:themeColor="background1"/>
              </w:rPr>
              <w:t>-2</w:t>
            </w:r>
            <w:r w:rsidR="00442DD3">
              <w:rPr>
                <w:b/>
                <w:color w:val="FFFFFF" w:themeColor="background1"/>
              </w:rPr>
              <w:t>2</w:t>
            </w:r>
          </w:p>
        </w:tc>
        <w:tc>
          <w:tcPr>
            <w:tcW w:w="1080" w:type="dxa"/>
            <w:shd w:val="clear" w:color="auto" w:fill="0079C1"/>
          </w:tcPr>
          <w:p w:rsidR="00646D65" w:rsidRPr="00646D65" w:rsidRDefault="00646D65" w:rsidP="00715066">
            <w:pPr>
              <w:contextualSpacing/>
              <w:rPr>
                <w:b/>
                <w:color w:val="FFFFFF" w:themeColor="background1"/>
              </w:rPr>
            </w:pPr>
            <w:r w:rsidRPr="00646D65">
              <w:rPr>
                <w:b/>
                <w:color w:val="FFFFFF" w:themeColor="background1"/>
              </w:rPr>
              <w:t>202</w:t>
            </w:r>
            <w:r w:rsidR="00442DD3">
              <w:rPr>
                <w:b/>
                <w:color w:val="FFFFFF" w:themeColor="background1"/>
              </w:rPr>
              <w:t>2</w:t>
            </w:r>
            <w:r w:rsidRPr="00646D65">
              <w:rPr>
                <w:b/>
                <w:color w:val="FFFFFF" w:themeColor="background1"/>
              </w:rPr>
              <w:t>-2</w:t>
            </w:r>
            <w:r w:rsidR="00442DD3">
              <w:rPr>
                <w:b/>
                <w:color w:val="FFFFFF" w:themeColor="background1"/>
              </w:rPr>
              <w:t>3</w:t>
            </w:r>
          </w:p>
        </w:tc>
        <w:tc>
          <w:tcPr>
            <w:tcW w:w="990" w:type="dxa"/>
            <w:shd w:val="clear" w:color="auto" w:fill="0079C1"/>
          </w:tcPr>
          <w:p w:rsidR="00646D65" w:rsidRPr="00646D65" w:rsidRDefault="00646D65" w:rsidP="00715066">
            <w:pPr>
              <w:contextualSpacing/>
              <w:rPr>
                <w:b/>
                <w:color w:val="FFFFFF" w:themeColor="background1"/>
              </w:rPr>
            </w:pPr>
            <w:r w:rsidRPr="00646D65">
              <w:rPr>
                <w:b/>
                <w:color w:val="FFFFFF" w:themeColor="background1"/>
              </w:rPr>
              <w:t>202</w:t>
            </w:r>
            <w:r w:rsidR="00442DD3">
              <w:rPr>
                <w:b/>
                <w:color w:val="FFFFFF" w:themeColor="background1"/>
              </w:rPr>
              <w:t>3</w:t>
            </w:r>
            <w:r w:rsidRPr="00646D65">
              <w:rPr>
                <w:b/>
                <w:color w:val="FFFFFF" w:themeColor="background1"/>
              </w:rPr>
              <w:t>-2</w:t>
            </w:r>
            <w:r w:rsidR="00442DD3">
              <w:rPr>
                <w:b/>
                <w:color w:val="FFFFFF" w:themeColor="background1"/>
              </w:rPr>
              <w:t>4</w:t>
            </w:r>
          </w:p>
        </w:tc>
      </w:tr>
      <w:tr w:rsidR="00646D65" w:rsidTr="00646D65">
        <w:tc>
          <w:tcPr>
            <w:tcW w:w="5035" w:type="dxa"/>
          </w:tcPr>
          <w:p w:rsidR="00646D65" w:rsidRDefault="00646D65" w:rsidP="00646D65">
            <w:pPr>
              <w:contextualSpacing/>
            </w:pPr>
            <w:r>
              <w:t>Retention Rate (Fall to Fall)</w:t>
            </w:r>
          </w:p>
        </w:tc>
        <w:tc>
          <w:tcPr>
            <w:tcW w:w="990" w:type="dxa"/>
          </w:tcPr>
          <w:p w:rsidR="00646D65" w:rsidRDefault="00442DD3" w:rsidP="00646D65">
            <w:pPr>
              <w:contextualSpacing/>
            </w:pPr>
            <w:r>
              <w:t>68</w:t>
            </w:r>
            <w:r w:rsidR="00646D65">
              <w:t>%</w:t>
            </w:r>
          </w:p>
        </w:tc>
        <w:tc>
          <w:tcPr>
            <w:tcW w:w="990" w:type="dxa"/>
          </w:tcPr>
          <w:p w:rsidR="00646D65" w:rsidRDefault="00442DD3" w:rsidP="00646D65">
            <w:pPr>
              <w:contextualSpacing/>
            </w:pPr>
            <w:r>
              <w:t>62</w:t>
            </w:r>
            <w:r w:rsidR="00646D65">
              <w:t>%</w:t>
            </w:r>
          </w:p>
        </w:tc>
        <w:tc>
          <w:tcPr>
            <w:tcW w:w="990" w:type="dxa"/>
          </w:tcPr>
          <w:p w:rsidR="00646D65" w:rsidRDefault="00646D65" w:rsidP="00646D65">
            <w:pPr>
              <w:contextualSpacing/>
            </w:pPr>
            <w:r>
              <w:t>6</w:t>
            </w:r>
            <w:r w:rsidR="00442DD3">
              <w:t>1</w:t>
            </w:r>
            <w:r>
              <w:t>%</w:t>
            </w:r>
          </w:p>
        </w:tc>
        <w:tc>
          <w:tcPr>
            <w:tcW w:w="1080" w:type="dxa"/>
          </w:tcPr>
          <w:p w:rsidR="00646D65" w:rsidRDefault="007A3407" w:rsidP="00646D65">
            <w:pPr>
              <w:contextualSpacing/>
            </w:pPr>
            <w:r>
              <w:t>6</w:t>
            </w:r>
            <w:r w:rsidR="00442DD3">
              <w:t>7</w:t>
            </w:r>
            <w:r>
              <w:t>%</w:t>
            </w:r>
          </w:p>
        </w:tc>
        <w:tc>
          <w:tcPr>
            <w:tcW w:w="990" w:type="dxa"/>
          </w:tcPr>
          <w:p w:rsidR="00646D65" w:rsidRDefault="00A218A1" w:rsidP="00646D65">
            <w:pPr>
              <w:contextualSpacing/>
            </w:pPr>
            <w:r>
              <w:t>69%</w:t>
            </w:r>
          </w:p>
        </w:tc>
      </w:tr>
      <w:tr w:rsidR="00646D65" w:rsidTr="00646D65">
        <w:tc>
          <w:tcPr>
            <w:tcW w:w="5035" w:type="dxa"/>
          </w:tcPr>
          <w:p w:rsidR="00646D65" w:rsidRDefault="00646D65" w:rsidP="00646D65">
            <w:pPr>
              <w:contextualSpacing/>
            </w:pPr>
            <w:r>
              <w:t>Persistence rate (Fall to Spring)</w:t>
            </w:r>
          </w:p>
        </w:tc>
        <w:tc>
          <w:tcPr>
            <w:tcW w:w="990" w:type="dxa"/>
          </w:tcPr>
          <w:p w:rsidR="00646D65" w:rsidRDefault="00442DD3" w:rsidP="00646D65">
            <w:pPr>
              <w:contextualSpacing/>
            </w:pPr>
            <w:r>
              <w:t>75</w:t>
            </w:r>
            <w:r w:rsidR="00646D65">
              <w:t>%</w:t>
            </w:r>
          </w:p>
        </w:tc>
        <w:tc>
          <w:tcPr>
            <w:tcW w:w="990" w:type="dxa"/>
          </w:tcPr>
          <w:p w:rsidR="00646D65" w:rsidRDefault="00442DD3" w:rsidP="00646D65">
            <w:pPr>
              <w:contextualSpacing/>
            </w:pPr>
            <w:r>
              <w:t>80</w:t>
            </w:r>
            <w:r w:rsidR="00646D65">
              <w:t>%</w:t>
            </w:r>
          </w:p>
        </w:tc>
        <w:tc>
          <w:tcPr>
            <w:tcW w:w="990" w:type="dxa"/>
          </w:tcPr>
          <w:p w:rsidR="00646D65" w:rsidRDefault="00442DD3" w:rsidP="00646D65">
            <w:pPr>
              <w:contextualSpacing/>
            </w:pPr>
            <w:r>
              <w:t>80</w:t>
            </w:r>
            <w:r w:rsidR="00646D65">
              <w:t>%</w:t>
            </w:r>
          </w:p>
        </w:tc>
        <w:tc>
          <w:tcPr>
            <w:tcW w:w="1080" w:type="dxa"/>
          </w:tcPr>
          <w:p w:rsidR="00646D65" w:rsidRDefault="00442DD3" w:rsidP="00646D65">
            <w:pPr>
              <w:contextualSpacing/>
            </w:pPr>
            <w:r>
              <w:t>81</w:t>
            </w:r>
            <w:r w:rsidR="0072247D">
              <w:t>%</w:t>
            </w:r>
          </w:p>
        </w:tc>
        <w:tc>
          <w:tcPr>
            <w:tcW w:w="990" w:type="dxa"/>
          </w:tcPr>
          <w:p w:rsidR="00646D65" w:rsidRDefault="00A218A1" w:rsidP="00646D65">
            <w:pPr>
              <w:contextualSpacing/>
            </w:pPr>
            <w:r>
              <w:t>81%</w:t>
            </w:r>
          </w:p>
        </w:tc>
      </w:tr>
    </w:tbl>
    <w:p w:rsidR="001D012E" w:rsidRDefault="00646D65" w:rsidP="00715066">
      <w:pPr>
        <w:contextualSpacing/>
        <w:rPr>
          <w:i/>
          <w:sz w:val="16"/>
        </w:rPr>
      </w:pPr>
      <w:r w:rsidRPr="00646D65">
        <w:rPr>
          <w:i/>
          <w:sz w:val="16"/>
        </w:rPr>
        <w:t>Represents 15</w:t>
      </w:r>
      <w:r w:rsidRPr="00646D65">
        <w:rPr>
          <w:i/>
          <w:sz w:val="16"/>
          <w:vertAlign w:val="superscript"/>
        </w:rPr>
        <w:t>th</w:t>
      </w:r>
      <w:r w:rsidRPr="00646D65">
        <w:rPr>
          <w:i/>
          <w:sz w:val="16"/>
        </w:rPr>
        <w:t xml:space="preserve"> day, full and part-time students who have declared an associate degree program; dual-credit student not included.</w:t>
      </w:r>
    </w:p>
    <w:p w:rsidR="00646D65" w:rsidRDefault="00646D65" w:rsidP="00715066">
      <w:pPr>
        <w:contextualSpacing/>
        <w:rPr>
          <w:i/>
          <w:sz w:val="16"/>
        </w:rPr>
      </w:pPr>
      <w:r>
        <w:rPr>
          <w:i/>
          <w:sz w:val="16"/>
        </w:rPr>
        <w:t>Source: Rhodes State College Student Information Syste</w:t>
      </w:r>
      <w:r w:rsidR="00B241E2">
        <w:rPr>
          <w:i/>
          <w:sz w:val="16"/>
        </w:rPr>
        <w:t>m (SIS)</w:t>
      </w:r>
    </w:p>
    <w:p w:rsidR="00F22AEF" w:rsidRPr="00646D65" w:rsidRDefault="00F22AEF" w:rsidP="00715066">
      <w:pPr>
        <w:contextualSpacing/>
        <w:rPr>
          <w:i/>
          <w:sz w:val="16"/>
        </w:rPr>
      </w:pPr>
      <w:r>
        <w:rPr>
          <w:i/>
          <w:sz w:val="16"/>
        </w:rPr>
        <w:t>Retention rate for academic year 202</w:t>
      </w:r>
      <w:r w:rsidR="00CD7A86">
        <w:rPr>
          <w:i/>
          <w:sz w:val="16"/>
        </w:rPr>
        <w:t>3</w:t>
      </w:r>
      <w:r>
        <w:rPr>
          <w:i/>
          <w:sz w:val="16"/>
        </w:rPr>
        <w:t>-2</w:t>
      </w:r>
      <w:r w:rsidR="00CD7A86">
        <w:rPr>
          <w:i/>
          <w:sz w:val="16"/>
        </w:rPr>
        <w:t>4</w:t>
      </w:r>
      <w:r>
        <w:rPr>
          <w:i/>
          <w:sz w:val="16"/>
        </w:rPr>
        <w:t xml:space="preserve"> was calculated using institutional definition of retention</w:t>
      </w:r>
    </w:p>
    <w:p w:rsidR="00646D65" w:rsidRDefault="00646D65" w:rsidP="00715066">
      <w:pPr>
        <w:contextualSpacing/>
      </w:pPr>
    </w:p>
    <w:tbl>
      <w:tblPr>
        <w:tblStyle w:val="TableGrid"/>
        <w:tblW w:w="8737" w:type="dxa"/>
        <w:tblLook w:val="04A0" w:firstRow="1" w:lastRow="0" w:firstColumn="1" w:lastColumn="0" w:noHBand="0" w:noVBand="1"/>
      </w:tblPr>
      <w:tblGrid>
        <w:gridCol w:w="3427"/>
        <w:gridCol w:w="1062"/>
        <w:gridCol w:w="1062"/>
        <w:gridCol w:w="1062"/>
        <w:gridCol w:w="1062"/>
        <w:gridCol w:w="1062"/>
      </w:tblGrid>
      <w:tr w:rsidR="00B241E2" w:rsidTr="00FA0DB8">
        <w:tc>
          <w:tcPr>
            <w:tcW w:w="3427" w:type="dxa"/>
            <w:shd w:val="clear" w:color="auto" w:fill="0079C1"/>
          </w:tcPr>
          <w:p w:rsidR="00B241E2" w:rsidRPr="00B241E2" w:rsidRDefault="00B241E2" w:rsidP="00715066">
            <w:pPr>
              <w:contextualSpacing/>
              <w:rPr>
                <w:b/>
                <w:color w:val="FFFFFF" w:themeColor="background1"/>
              </w:rPr>
            </w:pPr>
            <w:r w:rsidRPr="00B241E2">
              <w:rPr>
                <w:b/>
                <w:color w:val="FFFFFF" w:themeColor="background1"/>
              </w:rPr>
              <w:t>Degrees and Certificates Awarded</w:t>
            </w:r>
          </w:p>
        </w:tc>
        <w:tc>
          <w:tcPr>
            <w:tcW w:w="1062" w:type="dxa"/>
            <w:shd w:val="clear" w:color="auto" w:fill="0079C1"/>
          </w:tcPr>
          <w:p w:rsidR="00B241E2" w:rsidRPr="00B241E2" w:rsidRDefault="00B241E2" w:rsidP="00715066">
            <w:pPr>
              <w:contextualSpacing/>
              <w:rPr>
                <w:b/>
                <w:color w:val="FFFFFF" w:themeColor="background1"/>
              </w:rPr>
            </w:pPr>
            <w:r w:rsidRPr="00B241E2">
              <w:rPr>
                <w:b/>
                <w:color w:val="FFFFFF" w:themeColor="background1"/>
              </w:rPr>
              <w:t>201</w:t>
            </w:r>
            <w:r w:rsidR="00442DD3">
              <w:rPr>
                <w:b/>
                <w:color w:val="FFFFFF" w:themeColor="background1"/>
              </w:rPr>
              <w:t>9</w:t>
            </w:r>
            <w:r w:rsidRPr="00B241E2">
              <w:rPr>
                <w:b/>
                <w:color w:val="FFFFFF" w:themeColor="background1"/>
              </w:rPr>
              <w:t>-</w:t>
            </w:r>
            <w:r w:rsidR="00442DD3">
              <w:rPr>
                <w:b/>
                <w:color w:val="FFFFFF" w:themeColor="background1"/>
              </w:rPr>
              <w:t>20</w:t>
            </w:r>
          </w:p>
        </w:tc>
        <w:tc>
          <w:tcPr>
            <w:tcW w:w="1062" w:type="dxa"/>
            <w:shd w:val="clear" w:color="auto" w:fill="0079C1"/>
          </w:tcPr>
          <w:p w:rsidR="00B241E2" w:rsidRPr="00B241E2" w:rsidRDefault="00B241E2" w:rsidP="00715066">
            <w:pPr>
              <w:contextualSpacing/>
              <w:rPr>
                <w:b/>
                <w:color w:val="FFFFFF" w:themeColor="background1"/>
              </w:rPr>
            </w:pPr>
            <w:r w:rsidRPr="00B241E2">
              <w:rPr>
                <w:b/>
                <w:color w:val="FFFFFF" w:themeColor="background1"/>
              </w:rPr>
              <w:t>20</w:t>
            </w:r>
            <w:r w:rsidR="00442DD3">
              <w:rPr>
                <w:b/>
                <w:color w:val="FFFFFF" w:themeColor="background1"/>
              </w:rPr>
              <w:t>20</w:t>
            </w:r>
            <w:r w:rsidRPr="00B241E2">
              <w:rPr>
                <w:b/>
                <w:color w:val="FFFFFF" w:themeColor="background1"/>
              </w:rPr>
              <w:t>-2</w:t>
            </w:r>
            <w:r w:rsidR="00442DD3">
              <w:rPr>
                <w:b/>
                <w:color w:val="FFFFFF" w:themeColor="background1"/>
              </w:rPr>
              <w:t>1</w:t>
            </w:r>
          </w:p>
        </w:tc>
        <w:tc>
          <w:tcPr>
            <w:tcW w:w="1062" w:type="dxa"/>
            <w:shd w:val="clear" w:color="auto" w:fill="0079C1"/>
          </w:tcPr>
          <w:p w:rsidR="00B241E2" w:rsidRPr="00B241E2" w:rsidRDefault="00B241E2" w:rsidP="00715066">
            <w:pPr>
              <w:contextualSpacing/>
              <w:rPr>
                <w:b/>
                <w:color w:val="FFFFFF" w:themeColor="background1"/>
              </w:rPr>
            </w:pPr>
            <w:r w:rsidRPr="00B241E2">
              <w:rPr>
                <w:b/>
                <w:color w:val="FFFFFF" w:themeColor="background1"/>
              </w:rPr>
              <w:t>202</w:t>
            </w:r>
            <w:r w:rsidR="00442DD3">
              <w:rPr>
                <w:b/>
                <w:color w:val="FFFFFF" w:themeColor="background1"/>
              </w:rPr>
              <w:t>1</w:t>
            </w:r>
            <w:r w:rsidRPr="00B241E2">
              <w:rPr>
                <w:b/>
                <w:color w:val="FFFFFF" w:themeColor="background1"/>
              </w:rPr>
              <w:t>-2</w:t>
            </w:r>
            <w:r w:rsidR="00442DD3">
              <w:rPr>
                <w:b/>
                <w:color w:val="FFFFFF" w:themeColor="background1"/>
              </w:rPr>
              <w:t>2</w:t>
            </w:r>
          </w:p>
        </w:tc>
        <w:tc>
          <w:tcPr>
            <w:tcW w:w="1062" w:type="dxa"/>
            <w:shd w:val="clear" w:color="auto" w:fill="0079C1"/>
          </w:tcPr>
          <w:p w:rsidR="00B241E2" w:rsidRPr="00B241E2" w:rsidRDefault="00B241E2" w:rsidP="00715066">
            <w:pPr>
              <w:contextualSpacing/>
              <w:rPr>
                <w:b/>
                <w:color w:val="FFFFFF" w:themeColor="background1"/>
              </w:rPr>
            </w:pPr>
            <w:r w:rsidRPr="00B241E2">
              <w:rPr>
                <w:b/>
                <w:color w:val="FFFFFF" w:themeColor="background1"/>
              </w:rPr>
              <w:t>202</w:t>
            </w:r>
            <w:r w:rsidR="00442DD3">
              <w:rPr>
                <w:b/>
                <w:color w:val="FFFFFF" w:themeColor="background1"/>
              </w:rPr>
              <w:t>2</w:t>
            </w:r>
            <w:r w:rsidRPr="00B241E2">
              <w:rPr>
                <w:b/>
                <w:color w:val="FFFFFF" w:themeColor="background1"/>
              </w:rPr>
              <w:t>-2</w:t>
            </w:r>
            <w:r w:rsidR="00442DD3">
              <w:rPr>
                <w:b/>
                <w:color w:val="FFFFFF" w:themeColor="background1"/>
              </w:rPr>
              <w:t>3</w:t>
            </w:r>
          </w:p>
        </w:tc>
        <w:tc>
          <w:tcPr>
            <w:tcW w:w="1062" w:type="dxa"/>
            <w:shd w:val="clear" w:color="auto" w:fill="0079C1"/>
          </w:tcPr>
          <w:p w:rsidR="00B241E2" w:rsidRPr="00B241E2" w:rsidRDefault="00B241E2" w:rsidP="00715066">
            <w:pPr>
              <w:contextualSpacing/>
              <w:rPr>
                <w:b/>
                <w:color w:val="FFFFFF" w:themeColor="background1"/>
              </w:rPr>
            </w:pPr>
            <w:r w:rsidRPr="00B241E2">
              <w:rPr>
                <w:b/>
                <w:color w:val="FFFFFF" w:themeColor="background1"/>
              </w:rPr>
              <w:t>202</w:t>
            </w:r>
            <w:r w:rsidR="00442DD3">
              <w:rPr>
                <w:b/>
                <w:color w:val="FFFFFF" w:themeColor="background1"/>
              </w:rPr>
              <w:t>3</w:t>
            </w:r>
            <w:r w:rsidRPr="00B241E2">
              <w:rPr>
                <w:b/>
                <w:color w:val="FFFFFF" w:themeColor="background1"/>
              </w:rPr>
              <w:t>-2</w:t>
            </w:r>
            <w:r w:rsidR="00442DD3">
              <w:rPr>
                <w:b/>
                <w:color w:val="FFFFFF" w:themeColor="background1"/>
              </w:rPr>
              <w:t>4</w:t>
            </w:r>
          </w:p>
        </w:tc>
      </w:tr>
      <w:tr w:rsidR="00B241E2" w:rsidTr="00FA0DB8">
        <w:tc>
          <w:tcPr>
            <w:tcW w:w="3427" w:type="dxa"/>
          </w:tcPr>
          <w:p w:rsidR="00B241E2" w:rsidRDefault="00FA0DB8" w:rsidP="00715066">
            <w:pPr>
              <w:contextualSpacing/>
            </w:pPr>
            <w:r>
              <w:t>Certificates</w:t>
            </w:r>
          </w:p>
        </w:tc>
        <w:tc>
          <w:tcPr>
            <w:tcW w:w="1062" w:type="dxa"/>
          </w:tcPr>
          <w:p w:rsidR="00B241E2" w:rsidRDefault="00442DD3" w:rsidP="00715066">
            <w:pPr>
              <w:contextualSpacing/>
            </w:pPr>
            <w:r>
              <w:t>69</w:t>
            </w:r>
          </w:p>
        </w:tc>
        <w:tc>
          <w:tcPr>
            <w:tcW w:w="1062" w:type="dxa"/>
          </w:tcPr>
          <w:p w:rsidR="00B241E2" w:rsidRDefault="00442DD3" w:rsidP="00715066">
            <w:pPr>
              <w:contextualSpacing/>
            </w:pPr>
            <w:r>
              <w:t>194</w:t>
            </w:r>
          </w:p>
        </w:tc>
        <w:tc>
          <w:tcPr>
            <w:tcW w:w="1062" w:type="dxa"/>
          </w:tcPr>
          <w:p w:rsidR="00B241E2" w:rsidRDefault="00442DD3" w:rsidP="00715066">
            <w:pPr>
              <w:contextualSpacing/>
            </w:pPr>
            <w:r>
              <w:t>146</w:t>
            </w:r>
          </w:p>
        </w:tc>
        <w:tc>
          <w:tcPr>
            <w:tcW w:w="1062" w:type="dxa"/>
          </w:tcPr>
          <w:p w:rsidR="00B241E2" w:rsidRDefault="00442DD3" w:rsidP="00715066">
            <w:pPr>
              <w:contextualSpacing/>
            </w:pPr>
            <w:r>
              <w:t>507</w:t>
            </w:r>
          </w:p>
        </w:tc>
        <w:tc>
          <w:tcPr>
            <w:tcW w:w="1062" w:type="dxa"/>
          </w:tcPr>
          <w:p w:rsidR="00B241E2" w:rsidRDefault="00DA55AF" w:rsidP="00715066">
            <w:pPr>
              <w:contextualSpacing/>
            </w:pPr>
            <w:r>
              <w:t>414</w:t>
            </w:r>
          </w:p>
        </w:tc>
      </w:tr>
      <w:tr w:rsidR="00B241E2" w:rsidTr="00FA0DB8">
        <w:tc>
          <w:tcPr>
            <w:tcW w:w="3427" w:type="dxa"/>
          </w:tcPr>
          <w:p w:rsidR="00B241E2" w:rsidRDefault="00FA0DB8" w:rsidP="00715066">
            <w:pPr>
              <w:contextualSpacing/>
            </w:pPr>
            <w:r>
              <w:t>Associate Degrees</w:t>
            </w:r>
          </w:p>
        </w:tc>
        <w:tc>
          <w:tcPr>
            <w:tcW w:w="1062" w:type="dxa"/>
          </w:tcPr>
          <w:p w:rsidR="00B241E2" w:rsidRDefault="00442DD3" w:rsidP="00715066">
            <w:pPr>
              <w:contextualSpacing/>
            </w:pPr>
            <w:r>
              <w:t>349</w:t>
            </w:r>
          </w:p>
        </w:tc>
        <w:tc>
          <w:tcPr>
            <w:tcW w:w="1062" w:type="dxa"/>
          </w:tcPr>
          <w:p w:rsidR="00B241E2" w:rsidRDefault="00442DD3" w:rsidP="00715066">
            <w:pPr>
              <w:contextualSpacing/>
            </w:pPr>
            <w:r>
              <w:t>365</w:t>
            </w:r>
          </w:p>
        </w:tc>
        <w:tc>
          <w:tcPr>
            <w:tcW w:w="1062" w:type="dxa"/>
          </w:tcPr>
          <w:p w:rsidR="00B241E2" w:rsidRDefault="00442DD3" w:rsidP="00715066">
            <w:pPr>
              <w:contextualSpacing/>
            </w:pPr>
            <w:r>
              <w:t>301</w:t>
            </w:r>
          </w:p>
        </w:tc>
        <w:tc>
          <w:tcPr>
            <w:tcW w:w="1062" w:type="dxa"/>
          </w:tcPr>
          <w:p w:rsidR="00B241E2" w:rsidRDefault="00442DD3" w:rsidP="00715066">
            <w:pPr>
              <w:contextualSpacing/>
            </w:pPr>
            <w:r>
              <w:t>261</w:t>
            </w:r>
          </w:p>
        </w:tc>
        <w:tc>
          <w:tcPr>
            <w:tcW w:w="1062" w:type="dxa"/>
          </w:tcPr>
          <w:p w:rsidR="00B241E2" w:rsidRDefault="00DA55AF" w:rsidP="00715066">
            <w:pPr>
              <w:contextualSpacing/>
            </w:pPr>
            <w:r>
              <w:t>309</w:t>
            </w:r>
          </w:p>
        </w:tc>
      </w:tr>
    </w:tbl>
    <w:p w:rsidR="001D012E" w:rsidRPr="005A566E" w:rsidRDefault="00B241E2" w:rsidP="00715066">
      <w:pPr>
        <w:contextualSpacing/>
        <w:rPr>
          <w:i/>
          <w:sz w:val="16"/>
        </w:rPr>
      </w:pPr>
      <w:r w:rsidRPr="005A566E">
        <w:rPr>
          <w:i/>
          <w:sz w:val="16"/>
        </w:rPr>
        <w:t>Source: Rhodes State College Banner System</w:t>
      </w:r>
    </w:p>
    <w:p w:rsidR="00B241E2" w:rsidRPr="005A566E" w:rsidRDefault="00B241E2" w:rsidP="00715066">
      <w:pPr>
        <w:contextualSpacing/>
        <w:rPr>
          <w:i/>
          <w:sz w:val="16"/>
        </w:rPr>
      </w:pPr>
      <w:r w:rsidRPr="005A566E">
        <w:rPr>
          <w:i/>
          <w:sz w:val="16"/>
        </w:rPr>
        <w:tab/>
        <w:t>BannerTree report</w:t>
      </w:r>
    </w:p>
    <w:p w:rsidR="00B241E2" w:rsidRPr="005A566E" w:rsidRDefault="00B241E2" w:rsidP="00715066">
      <w:pPr>
        <w:contextualSpacing/>
        <w:rPr>
          <w:i/>
          <w:sz w:val="16"/>
        </w:rPr>
      </w:pPr>
      <w:r w:rsidRPr="005A566E">
        <w:rPr>
          <w:i/>
          <w:sz w:val="16"/>
        </w:rPr>
        <w:t>Period: July 1 – June 30</w:t>
      </w:r>
    </w:p>
    <w:p w:rsidR="000F604A" w:rsidRDefault="000F604A" w:rsidP="00715066">
      <w:pPr>
        <w:contextualSpacing/>
      </w:pPr>
    </w:p>
    <w:p w:rsidR="001D012E" w:rsidRDefault="006D5CF3" w:rsidP="00715066">
      <w:pPr>
        <w:contextualSpacing/>
        <w:rPr>
          <w:b/>
          <w:color w:val="0079C1"/>
        </w:rPr>
      </w:pPr>
      <w:r w:rsidRPr="005A566E">
        <w:rPr>
          <w:b/>
          <w:color w:val="0079C1"/>
        </w:rPr>
        <w:t>Student Characteristics Fall 202</w:t>
      </w:r>
      <w:r w:rsidR="00442DD3">
        <w:rPr>
          <w:b/>
          <w:color w:val="0079C1"/>
        </w:rPr>
        <w:t>4</w:t>
      </w:r>
    </w:p>
    <w:p w:rsidR="005A566E" w:rsidRPr="005A566E" w:rsidRDefault="005A566E" w:rsidP="00715066">
      <w:pPr>
        <w:contextualSpacing/>
        <w:rPr>
          <w:b/>
          <w:color w:val="0079C1"/>
        </w:rPr>
      </w:pPr>
    </w:p>
    <w:p w:rsidR="00B241E2" w:rsidRDefault="00B241E2" w:rsidP="00715066">
      <w:pPr>
        <w:contextualSpacing/>
      </w:pPr>
      <w:r>
        <w:tab/>
      </w:r>
      <w:r w:rsidR="00B10800">
        <w:t>63.92</w:t>
      </w:r>
      <w:r w:rsidR="009A20CA">
        <w:t>%</w:t>
      </w:r>
      <w:r>
        <w:t xml:space="preserve"> Women; </w:t>
      </w:r>
      <w:r w:rsidR="00B10800">
        <w:t>36.08</w:t>
      </w:r>
      <w:r>
        <w:t>% Men</w:t>
      </w:r>
    </w:p>
    <w:p w:rsidR="009A20CA" w:rsidRDefault="00B241E2" w:rsidP="00715066">
      <w:pPr>
        <w:contextualSpacing/>
      </w:pPr>
      <w:r>
        <w:tab/>
        <w:t>Average Age:</w:t>
      </w:r>
      <w:r w:rsidR="009A20CA">
        <w:t xml:space="preserve"> </w:t>
      </w:r>
      <w:r w:rsidR="00B10800">
        <w:t>19.65</w:t>
      </w:r>
    </w:p>
    <w:p w:rsidR="005446C8" w:rsidRDefault="005446C8" w:rsidP="00715066">
      <w:pPr>
        <w:contextualSpacing/>
      </w:pPr>
    </w:p>
    <w:p w:rsidR="005446C8" w:rsidRPr="005446C8" w:rsidRDefault="006D5CF3" w:rsidP="005446C8">
      <w:pPr>
        <w:contextualSpacing/>
        <w:rPr>
          <w:b/>
          <w:color w:val="0079C1"/>
        </w:rPr>
      </w:pPr>
      <w:r w:rsidRPr="005A566E">
        <w:rPr>
          <w:b/>
          <w:color w:val="0079C1"/>
        </w:rPr>
        <w:t>Additional Information (Links)</w:t>
      </w:r>
    </w:p>
    <w:tbl>
      <w:tblPr>
        <w:tblW w:w="6313" w:type="dxa"/>
        <w:tblInd w:w="630" w:type="dxa"/>
        <w:tblLook w:val="04A0" w:firstRow="1" w:lastRow="0" w:firstColumn="1" w:lastColumn="0" w:noHBand="0" w:noVBand="1"/>
      </w:tblPr>
      <w:tblGrid>
        <w:gridCol w:w="6313"/>
      </w:tblGrid>
      <w:tr w:rsidR="005446C8" w:rsidRPr="00EC7926" w:rsidTr="00EE6D4C">
        <w:trPr>
          <w:trHeight w:val="353"/>
        </w:trPr>
        <w:tc>
          <w:tcPr>
            <w:tcW w:w="6313" w:type="dxa"/>
            <w:tcBorders>
              <w:top w:val="nil"/>
              <w:left w:val="nil"/>
              <w:bottom w:val="nil"/>
              <w:right w:val="nil"/>
            </w:tcBorders>
            <w:shd w:val="clear" w:color="auto" w:fill="auto"/>
            <w:noWrap/>
            <w:vAlign w:val="bottom"/>
            <w:hideMark/>
          </w:tcPr>
          <w:p w:rsidR="005446C8" w:rsidRPr="00EC7926" w:rsidRDefault="005446C8" w:rsidP="00EE6D4C">
            <w:pPr>
              <w:shd w:val="clear" w:color="auto" w:fill="FFFFFF"/>
              <w:spacing w:after="0" w:line="240" w:lineRule="auto"/>
              <w:contextualSpacing/>
              <w:rPr>
                <w:rFonts w:ascii="Arial" w:eastAsia="Times New Roman" w:hAnsi="Arial" w:cs="Arial"/>
                <w:b/>
                <w:color w:val="002060"/>
                <w:sz w:val="18"/>
                <w:szCs w:val="18"/>
                <w:u w:val="single"/>
              </w:rPr>
            </w:pPr>
            <w:r>
              <w:rPr>
                <w:rFonts w:ascii="Arial" w:hAnsi="Arial" w:cs="Arial"/>
                <w:sz w:val="18"/>
                <w:szCs w:val="18"/>
              </w:rPr>
              <w:tab/>
            </w:r>
            <w:hyperlink r:id="rId7" w:history="1">
              <w:r w:rsidRPr="00EC7926">
                <w:rPr>
                  <w:rFonts w:ascii="Arial" w:eastAsia="Times New Roman" w:hAnsi="Arial" w:cs="Arial"/>
                  <w:b/>
                  <w:color w:val="002060"/>
                  <w:sz w:val="18"/>
                  <w:szCs w:val="18"/>
                  <w:u w:val="single"/>
                </w:rPr>
                <w:t>Net Price Calculator</w:t>
              </w:r>
            </w:hyperlink>
          </w:p>
        </w:tc>
      </w:tr>
      <w:tr w:rsidR="005446C8" w:rsidRPr="00EC7926" w:rsidTr="00EE6D4C">
        <w:trPr>
          <w:trHeight w:val="353"/>
        </w:trPr>
        <w:tc>
          <w:tcPr>
            <w:tcW w:w="6313" w:type="dxa"/>
            <w:tcBorders>
              <w:top w:val="nil"/>
              <w:left w:val="nil"/>
              <w:bottom w:val="nil"/>
              <w:right w:val="nil"/>
            </w:tcBorders>
            <w:shd w:val="clear" w:color="auto" w:fill="auto"/>
            <w:noWrap/>
            <w:vAlign w:val="bottom"/>
            <w:hideMark/>
          </w:tcPr>
          <w:p w:rsidR="005446C8" w:rsidRPr="00EC7926" w:rsidRDefault="005446C8" w:rsidP="00EE6D4C">
            <w:pPr>
              <w:shd w:val="clear" w:color="auto" w:fill="FFFFFF"/>
              <w:spacing w:after="0" w:line="240" w:lineRule="auto"/>
              <w:contextualSpacing/>
              <w:rPr>
                <w:rFonts w:ascii="Arial" w:eastAsia="Times New Roman" w:hAnsi="Arial" w:cs="Arial"/>
                <w:b/>
                <w:color w:val="002060"/>
                <w:sz w:val="18"/>
                <w:szCs w:val="18"/>
                <w:u w:val="single"/>
              </w:rPr>
            </w:pPr>
            <w:r>
              <w:rPr>
                <w:rFonts w:ascii="Arial" w:hAnsi="Arial" w:cs="Arial"/>
                <w:sz w:val="18"/>
                <w:szCs w:val="18"/>
              </w:rPr>
              <w:tab/>
            </w:r>
            <w:hyperlink r:id="rId8" w:history="1">
              <w:r w:rsidRPr="00EC7926">
                <w:rPr>
                  <w:rFonts w:ascii="Arial" w:eastAsia="Times New Roman" w:hAnsi="Arial" w:cs="Arial"/>
                  <w:b/>
                  <w:color w:val="002060"/>
                  <w:sz w:val="18"/>
                  <w:szCs w:val="18"/>
                  <w:u w:val="single"/>
                </w:rPr>
                <w:t>Annual Security Report (</w:t>
              </w:r>
              <w:proofErr w:type="spellStart"/>
              <w:r w:rsidRPr="00EC7926">
                <w:rPr>
                  <w:rFonts w:ascii="Arial" w:eastAsia="Times New Roman" w:hAnsi="Arial" w:cs="Arial"/>
                  <w:b/>
                  <w:color w:val="002060"/>
                  <w:sz w:val="18"/>
                  <w:szCs w:val="18"/>
                  <w:u w:val="single"/>
                </w:rPr>
                <w:t>Clery</w:t>
              </w:r>
              <w:proofErr w:type="spellEnd"/>
              <w:r w:rsidRPr="00EC7926">
                <w:rPr>
                  <w:rFonts w:ascii="Arial" w:eastAsia="Times New Roman" w:hAnsi="Arial" w:cs="Arial"/>
                  <w:b/>
                  <w:color w:val="002060"/>
                  <w:sz w:val="18"/>
                  <w:szCs w:val="18"/>
                  <w:u w:val="single"/>
                </w:rPr>
                <w:t xml:space="preserve"> Act)</w:t>
              </w:r>
            </w:hyperlink>
          </w:p>
        </w:tc>
      </w:tr>
      <w:tr w:rsidR="005446C8" w:rsidRPr="00EC7926" w:rsidTr="00EE6D4C">
        <w:trPr>
          <w:trHeight w:val="353"/>
        </w:trPr>
        <w:tc>
          <w:tcPr>
            <w:tcW w:w="6313" w:type="dxa"/>
            <w:tcBorders>
              <w:top w:val="nil"/>
              <w:left w:val="nil"/>
              <w:bottom w:val="nil"/>
              <w:right w:val="nil"/>
            </w:tcBorders>
            <w:shd w:val="clear" w:color="auto" w:fill="auto"/>
            <w:noWrap/>
            <w:vAlign w:val="bottom"/>
            <w:hideMark/>
          </w:tcPr>
          <w:p w:rsidR="005446C8" w:rsidRPr="00EC7926" w:rsidRDefault="005446C8" w:rsidP="00EE6D4C">
            <w:pPr>
              <w:shd w:val="clear" w:color="auto" w:fill="FFFFFF"/>
              <w:spacing w:after="0" w:line="240" w:lineRule="auto"/>
              <w:contextualSpacing/>
              <w:rPr>
                <w:rFonts w:ascii="Arial" w:eastAsia="Times New Roman" w:hAnsi="Arial" w:cs="Arial"/>
                <w:b/>
                <w:color w:val="002060"/>
                <w:sz w:val="18"/>
                <w:szCs w:val="18"/>
                <w:u w:val="single"/>
              </w:rPr>
            </w:pPr>
            <w:r>
              <w:rPr>
                <w:rFonts w:ascii="Arial" w:hAnsi="Arial" w:cs="Arial"/>
                <w:sz w:val="18"/>
                <w:szCs w:val="18"/>
              </w:rPr>
              <w:tab/>
            </w:r>
            <w:hyperlink r:id="rId9" w:history="1">
              <w:r w:rsidRPr="00EC7926">
                <w:rPr>
                  <w:rFonts w:ascii="Arial" w:eastAsia="Times New Roman" w:hAnsi="Arial" w:cs="Arial"/>
                  <w:b/>
                  <w:color w:val="002060"/>
                  <w:sz w:val="18"/>
                  <w:szCs w:val="18"/>
                  <w:u w:val="single"/>
                </w:rPr>
                <w:t>Accommodative Services (Stu</w:t>
              </w:r>
              <w:bookmarkStart w:id="0" w:name="_GoBack"/>
              <w:bookmarkEnd w:id="0"/>
              <w:r w:rsidRPr="00EC7926">
                <w:rPr>
                  <w:rFonts w:ascii="Arial" w:eastAsia="Times New Roman" w:hAnsi="Arial" w:cs="Arial"/>
                  <w:b/>
                  <w:color w:val="002060"/>
                  <w:sz w:val="18"/>
                  <w:szCs w:val="18"/>
                  <w:u w:val="single"/>
                </w:rPr>
                <w:t>d</w:t>
              </w:r>
              <w:r w:rsidRPr="00EC7926">
                <w:rPr>
                  <w:rFonts w:ascii="Arial" w:eastAsia="Times New Roman" w:hAnsi="Arial" w:cs="Arial"/>
                  <w:b/>
                  <w:color w:val="002060"/>
                  <w:sz w:val="18"/>
                  <w:szCs w:val="18"/>
                  <w:u w:val="single"/>
                </w:rPr>
                <w:t>ents with disabilities)</w:t>
              </w:r>
            </w:hyperlink>
          </w:p>
        </w:tc>
      </w:tr>
      <w:tr w:rsidR="005446C8" w:rsidRPr="00EC7926" w:rsidTr="00EE6D4C">
        <w:trPr>
          <w:trHeight w:val="353"/>
        </w:trPr>
        <w:tc>
          <w:tcPr>
            <w:tcW w:w="6313" w:type="dxa"/>
            <w:tcBorders>
              <w:top w:val="nil"/>
              <w:left w:val="nil"/>
              <w:bottom w:val="nil"/>
              <w:right w:val="nil"/>
            </w:tcBorders>
            <w:shd w:val="clear" w:color="auto" w:fill="auto"/>
            <w:noWrap/>
            <w:vAlign w:val="bottom"/>
            <w:hideMark/>
          </w:tcPr>
          <w:p w:rsidR="005446C8" w:rsidRPr="00EC7926" w:rsidRDefault="005446C8" w:rsidP="00EE6D4C">
            <w:pPr>
              <w:shd w:val="clear" w:color="auto" w:fill="FFFFFF"/>
              <w:spacing w:after="0" w:line="240" w:lineRule="auto"/>
              <w:contextualSpacing/>
              <w:rPr>
                <w:rFonts w:ascii="Arial" w:eastAsia="Times New Roman" w:hAnsi="Arial" w:cs="Arial"/>
                <w:b/>
                <w:color w:val="002060"/>
                <w:sz w:val="18"/>
                <w:szCs w:val="18"/>
                <w:u w:val="single"/>
              </w:rPr>
            </w:pPr>
            <w:r>
              <w:rPr>
                <w:rFonts w:ascii="Arial" w:hAnsi="Arial" w:cs="Arial"/>
                <w:sz w:val="18"/>
                <w:szCs w:val="18"/>
              </w:rPr>
              <w:tab/>
            </w:r>
            <w:hyperlink r:id="rId10" w:history="1">
              <w:r w:rsidRPr="00EC7926">
                <w:rPr>
                  <w:rFonts w:ascii="Arial" w:eastAsia="Times New Roman" w:hAnsi="Arial" w:cs="Arial"/>
                  <w:b/>
                  <w:color w:val="002060"/>
                  <w:sz w:val="18"/>
                  <w:szCs w:val="18"/>
                  <w:u w:val="single"/>
                </w:rPr>
                <w:t>Tuition and Fees</w:t>
              </w:r>
            </w:hyperlink>
          </w:p>
        </w:tc>
      </w:tr>
    </w:tbl>
    <w:p w:rsidR="00B241E2" w:rsidRDefault="00B241E2" w:rsidP="005446C8">
      <w:pPr>
        <w:contextualSpacing/>
      </w:pPr>
    </w:p>
    <w:sectPr w:rsidR="00B241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6C8" w:rsidRDefault="005446C8" w:rsidP="005446C8">
      <w:pPr>
        <w:spacing w:after="0" w:line="240" w:lineRule="auto"/>
      </w:pPr>
      <w:r>
        <w:separator/>
      </w:r>
    </w:p>
  </w:endnote>
  <w:endnote w:type="continuationSeparator" w:id="0">
    <w:p w:rsidR="005446C8" w:rsidRDefault="005446C8" w:rsidP="0054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5108"/>
      <w:docPartObj>
        <w:docPartGallery w:val="Page Numbers (Bottom of Page)"/>
        <w:docPartUnique/>
      </w:docPartObj>
    </w:sdtPr>
    <w:sdtEndPr/>
    <w:sdtContent>
      <w:sdt>
        <w:sdtPr>
          <w:id w:val="-1705238520"/>
          <w:docPartObj>
            <w:docPartGallery w:val="Page Numbers (Top of Page)"/>
            <w:docPartUnique/>
          </w:docPartObj>
        </w:sdtPr>
        <w:sdtEndPr/>
        <w:sdtContent>
          <w:p w:rsidR="005446C8" w:rsidRDefault="005446C8" w:rsidP="005446C8">
            <w:pPr>
              <w:pStyle w:val="Footer"/>
              <w:jc w:val="center"/>
            </w:pPr>
            <w:r w:rsidRPr="005446C8">
              <w:t xml:space="preserve">Page </w:t>
            </w:r>
            <w:r w:rsidRPr="005446C8">
              <w:rPr>
                <w:bCs/>
                <w:sz w:val="24"/>
                <w:szCs w:val="24"/>
              </w:rPr>
              <w:fldChar w:fldCharType="begin"/>
            </w:r>
            <w:r w:rsidRPr="005446C8">
              <w:rPr>
                <w:bCs/>
              </w:rPr>
              <w:instrText xml:space="preserve"> PAGE </w:instrText>
            </w:r>
            <w:r w:rsidRPr="005446C8">
              <w:rPr>
                <w:bCs/>
                <w:sz w:val="24"/>
                <w:szCs w:val="24"/>
              </w:rPr>
              <w:fldChar w:fldCharType="separate"/>
            </w:r>
            <w:r w:rsidRPr="005446C8">
              <w:rPr>
                <w:bCs/>
                <w:noProof/>
              </w:rPr>
              <w:t>2</w:t>
            </w:r>
            <w:r w:rsidRPr="005446C8">
              <w:rPr>
                <w:bCs/>
                <w:sz w:val="24"/>
                <w:szCs w:val="24"/>
              </w:rPr>
              <w:fldChar w:fldCharType="end"/>
            </w:r>
            <w:r w:rsidRPr="005446C8">
              <w:t xml:space="preserve"> of </w:t>
            </w:r>
            <w:r w:rsidRPr="005446C8">
              <w:rPr>
                <w:bCs/>
                <w:sz w:val="24"/>
                <w:szCs w:val="24"/>
              </w:rPr>
              <w:fldChar w:fldCharType="begin"/>
            </w:r>
            <w:r w:rsidRPr="005446C8">
              <w:rPr>
                <w:bCs/>
              </w:rPr>
              <w:instrText xml:space="preserve"> NUMPAGES  </w:instrText>
            </w:r>
            <w:r w:rsidRPr="005446C8">
              <w:rPr>
                <w:bCs/>
                <w:sz w:val="24"/>
                <w:szCs w:val="24"/>
              </w:rPr>
              <w:fldChar w:fldCharType="separate"/>
            </w:r>
            <w:r w:rsidRPr="005446C8">
              <w:rPr>
                <w:bCs/>
                <w:noProof/>
              </w:rPr>
              <w:t>2</w:t>
            </w:r>
            <w:r w:rsidRPr="005446C8">
              <w:rPr>
                <w:bCs/>
                <w:sz w:val="24"/>
                <w:szCs w:val="24"/>
              </w:rPr>
              <w:fldChar w:fldCharType="end"/>
            </w:r>
          </w:p>
        </w:sdtContent>
      </w:sdt>
    </w:sdtContent>
  </w:sdt>
  <w:p w:rsidR="005446C8" w:rsidRDefault="0054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6C8" w:rsidRDefault="005446C8" w:rsidP="005446C8">
      <w:pPr>
        <w:spacing w:after="0" w:line="240" w:lineRule="auto"/>
      </w:pPr>
      <w:r>
        <w:separator/>
      </w:r>
    </w:p>
  </w:footnote>
  <w:footnote w:type="continuationSeparator" w:id="0">
    <w:p w:rsidR="005446C8" w:rsidRDefault="005446C8" w:rsidP="0054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6C8" w:rsidRPr="005446C8" w:rsidRDefault="005446C8" w:rsidP="005446C8">
    <w:pPr>
      <w:pStyle w:val="Header"/>
    </w:pPr>
    <w:r>
      <w:rPr>
        <w:noProof/>
      </w:rPr>
      <w:drawing>
        <wp:inline distT="0" distB="0" distL="0" distR="0">
          <wp:extent cx="10668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_Logo.jpg"/>
                  <pic:cNvPicPr/>
                </pic:nvPicPr>
                <pic:blipFill>
                  <a:blip r:embed="rId1">
                    <a:extLst>
                      <a:ext uri="{28A0092B-C50C-407E-A947-70E740481C1C}">
                        <a14:useLocalDpi xmlns:a14="http://schemas.microsoft.com/office/drawing/2010/main" val="0"/>
                      </a:ext>
                    </a:extLst>
                  </a:blip>
                  <a:stretch>
                    <a:fillRect/>
                  </a:stretch>
                </pic:blipFill>
                <pic:spPr>
                  <a:xfrm>
                    <a:off x="0" y="0"/>
                    <a:ext cx="1066800" cy="371475"/>
                  </a:xfrm>
                  <a:prstGeom prst="rect">
                    <a:avLst/>
                  </a:prstGeom>
                </pic:spPr>
              </pic:pic>
            </a:graphicData>
          </a:graphic>
        </wp:inline>
      </w:drawing>
    </w:r>
    <w:r>
      <w:tab/>
    </w:r>
    <w:r>
      <w:tab/>
    </w:r>
    <w:r w:rsidR="00442DD3">
      <w:t>March</w:t>
    </w:r>
    <w:r>
      <w:t xml:space="preserve"> </w:t>
    </w:r>
    <w:r w:rsidR="006F2E25">
      <w:t>24</w:t>
    </w:r>
    <w:r>
      <w:t>, 202</w:t>
    </w:r>
    <w:r w:rsidR="00442DD3">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469F"/>
    <w:multiLevelType w:val="hybridMultilevel"/>
    <w:tmpl w:val="0DC8FACC"/>
    <w:lvl w:ilvl="0" w:tplc="7C008AF2">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606F4"/>
    <w:multiLevelType w:val="hybridMultilevel"/>
    <w:tmpl w:val="90F81A28"/>
    <w:lvl w:ilvl="0" w:tplc="8ACC4FCA">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55F2B"/>
    <w:multiLevelType w:val="hybridMultilevel"/>
    <w:tmpl w:val="7112640A"/>
    <w:lvl w:ilvl="0" w:tplc="14C2A1D2">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2E"/>
    <w:rsid w:val="0007565A"/>
    <w:rsid w:val="000F604A"/>
    <w:rsid w:val="001C3F5C"/>
    <w:rsid w:val="001D012E"/>
    <w:rsid w:val="002C6DB1"/>
    <w:rsid w:val="00442DD3"/>
    <w:rsid w:val="005440BB"/>
    <w:rsid w:val="005446C8"/>
    <w:rsid w:val="005A566E"/>
    <w:rsid w:val="00646D65"/>
    <w:rsid w:val="006D5CF3"/>
    <w:rsid w:val="006F2E25"/>
    <w:rsid w:val="00715066"/>
    <w:rsid w:val="0072247D"/>
    <w:rsid w:val="0074045B"/>
    <w:rsid w:val="00786993"/>
    <w:rsid w:val="007A3407"/>
    <w:rsid w:val="008A7F67"/>
    <w:rsid w:val="009908F5"/>
    <w:rsid w:val="009A20CA"/>
    <w:rsid w:val="00A218A1"/>
    <w:rsid w:val="00B10800"/>
    <w:rsid w:val="00B13126"/>
    <w:rsid w:val="00B241E2"/>
    <w:rsid w:val="00BB020F"/>
    <w:rsid w:val="00CC3058"/>
    <w:rsid w:val="00CD7A86"/>
    <w:rsid w:val="00D770A6"/>
    <w:rsid w:val="00DA55AF"/>
    <w:rsid w:val="00E5772E"/>
    <w:rsid w:val="00ED639F"/>
    <w:rsid w:val="00F16EC9"/>
    <w:rsid w:val="00F22AEF"/>
    <w:rsid w:val="00FA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69277"/>
  <w15:chartTrackingRefBased/>
  <w15:docId w15:val="{F32078B0-9642-4822-9F81-96654466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6D65"/>
    <w:pPr>
      <w:ind w:left="720"/>
      <w:contextualSpacing/>
    </w:pPr>
  </w:style>
  <w:style w:type="paragraph" w:styleId="Header">
    <w:name w:val="header"/>
    <w:basedOn w:val="Normal"/>
    <w:link w:val="HeaderChar"/>
    <w:uiPriority w:val="99"/>
    <w:unhideWhenUsed/>
    <w:rsid w:val="00544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6C8"/>
  </w:style>
  <w:style w:type="paragraph" w:styleId="Footer">
    <w:name w:val="footer"/>
    <w:basedOn w:val="Normal"/>
    <w:link w:val="FooterChar"/>
    <w:uiPriority w:val="99"/>
    <w:unhideWhenUsed/>
    <w:rsid w:val="00544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odesstate.edu/_files/documents/security/annual-security-repor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hodesstate.edu/financial-aid/net-price-calculator.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hodesstate.edu/financial-aid/tuition,-costs-and-important-info.html" TargetMode="External"/><Relationship Id="rId4" Type="http://schemas.openxmlformats.org/officeDocument/2006/relationships/webSettings" Target="webSettings.xml"/><Relationship Id="rId9" Type="http://schemas.openxmlformats.org/officeDocument/2006/relationships/hyperlink" Target="https://www.rhodesstate.edu/testing-center-and-accommodative-services/accommodative-service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Rhodes State College</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Iacob, Andrei</dc:creator>
  <cp:keywords/>
  <dc:description/>
  <cp:lastModifiedBy>Iacob, Andrei</cp:lastModifiedBy>
  <cp:revision>8</cp:revision>
  <cp:lastPrinted>2024-04-01T18:42:00Z</cp:lastPrinted>
  <dcterms:created xsi:type="dcterms:W3CDTF">2025-03-14T13:01:00Z</dcterms:created>
  <dcterms:modified xsi:type="dcterms:W3CDTF">2025-03-24T13:26:00Z</dcterms:modified>
</cp:coreProperties>
</file>